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720"/>
        <w:gridCol w:w="272"/>
        <w:gridCol w:w="862"/>
        <w:gridCol w:w="218"/>
        <w:gridCol w:w="845"/>
        <w:gridCol w:w="1394"/>
        <w:gridCol w:w="836"/>
        <w:gridCol w:w="697"/>
        <w:gridCol w:w="1254"/>
      </w:tblGrid>
      <w:tr w:rsidR="00335864" w14:paraId="5C213BDF" w14:textId="77777777" w:rsidTr="007E7F5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35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7E7F5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5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7E7F5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35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7E7F5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35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7E7F5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35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7E7F58">
        <w:trPr>
          <w:trHeight w:val="3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3F18E414" w:rsidR="00335864" w:rsidRPr="00FD3847" w:rsidRDefault="007E7F5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7E7F58">
              <w:rPr>
                <w:rFonts w:ascii="Calibri" w:eastAsia="Times New Roman" w:hAnsi="Calibri" w:cs="Times New Roman"/>
                <w:color w:val="000000"/>
                <w:sz w:val="16"/>
                <w:szCs w:val="16"/>
                <w:lang w:val="fr-BE" w:eastAsia="en-GB"/>
              </w:rPr>
              <w:t xml:space="preserve">Wroclaw Business University of Applied Sciences </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049C1080" w:rsidR="00335864" w:rsidRPr="007E7F58" w:rsidRDefault="007E7F5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7E7F58">
              <w:rPr>
                <w:rFonts w:ascii="Calibri" w:eastAsia="Times New Roman" w:hAnsi="Calibri" w:cs="Times New Roman"/>
                <w:color w:val="000000"/>
                <w:sz w:val="16"/>
                <w:szCs w:val="16"/>
                <w:lang w:val="fr-BE" w:eastAsia="en-GB"/>
              </w:rPr>
              <w:t xml:space="preserve">- </w:t>
            </w:r>
          </w:p>
        </w:tc>
        <w:tc>
          <w:tcPr>
            <w:tcW w:w="1352" w:type="dxa"/>
            <w:gridSpan w:val="2"/>
            <w:tcBorders>
              <w:top w:val="single" w:sz="8" w:space="0" w:color="000000"/>
              <w:bottom w:val="double" w:sz="6" w:space="0" w:color="000000"/>
              <w:right w:val="single" w:sz="8" w:space="0" w:color="000000"/>
            </w:tcBorders>
            <w:shd w:val="clear" w:color="auto" w:fill="auto"/>
            <w:vAlign w:val="center"/>
          </w:tcPr>
          <w:p w14:paraId="177FB32B" w14:textId="369FEC46" w:rsidR="00335864" w:rsidRPr="007E7F58" w:rsidRDefault="007E7F5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7E7F58">
              <w:rPr>
                <w:rFonts w:ascii="Calibri" w:eastAsia="Times New Roman" w:hAnsi="Calibri" w:cs="Times New Roman"/>
                <w:color w:val="000000"/>
                <w:sz w:val="16"/>
                <w:szCs w:val="16"/>
                <w:lang w:val="fr-BE" w:eastAsia="en-GB"/>
              </w:rPr>
              <w:t xml:space="preserve">PLWROCLAW12 </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9093FF5" w14:textId="6E4148ED" w:rsidR="00335864" w:rsidRPr="007E7F58" w:rsidRDefault="007E7F5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7E7F58">
              <w:rPr>
                <w:rFonts w:ascii="Calibri" w:eastAsia="Times New Roman" w:hAnsi="Calibri" w:cs="Times New Roman"/>
                <w:color w:val="000000"/>
                <w:sz w:val="16"/>
                <w:szCs w:val="16"/>
                <w:lang w:val="fr-BE" w:eastAsia="en-GB"/>
              </w:rPr>
              <w:t xml:space="preserve">Ostrowskiego 22, 53-238 Wrocław, Poland </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12E74A7C" w14:textId="296B99F1" w:rsidR="00335864" w:rsidRPr="00FD3847" w:rsidRDefault="007E7F5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7E7F58">
              <w:rPr>
                <w:rFonts w:ascii="Calibri" w:eastAsia="Times New Roman" w:hAnsi="Calibri" w:cs="Times New Roman"/>
                <w:color w:val="000000"/>
                <w:sz w:val="16"/>
                <w:szCs w:val="16"/>
                <w:lang w:val="fr-BE" w:eastAsia="en-GB"/>
              </w:rPr>
              <w:t>PL</w:t>
            </w:r>
            <w:r>
              <w:rPr>
                <w:rFonts w:ascii="Calibri" w:eastAsia="Times New Roman" w:hAnsi="Calibri" w:cs="Times New Roman"/>
                <w:color w:val="000000"/>
                <w:sz w:val="16"/>
                <w:szCs w:val="16"/>
                <w:highlight w:val="yellow"/>
                <w:lang w:val="fr-BE" w:eastAsia="en-GB"/>
              </w:rPr>
              <w:t xml:space="preserve"> </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F44F8C8" w14:textId="77777777" w:rsidR="00335864" w:rsidRPr="007E7F58" w:rsidRDefault="007E7F58">
            <w:pPr>
              <w:widowControl w:val="0"/>
              <w:spacing w:after="0" w:line="240" w:lineRule="auto"/>
              <w:jc w:val="center"/>
              <w:rPr>
                <w:rFonts w:ascii="Calibri" w:eastAsia="Times New Roman" w:hAnsi="Calibri" w:cs="Times New Roman"/>
                <w:color w:val="000000"/>
                <w:sz w:val="16"/>
                <w:szCs w:val="16"/>
                <w:lang w:val="fr-BE" w:eastAsia="en-GB"/>
              </w:rPr>
            </w:pPr>
            <w:r w:rsidRPr="007E7F58">
              <w:rPr>
                <w:rFonts w:ascii="Calibri" w:eastAsia="Times New Roman" w:hAnsi="Calibri" w:cs="Times New Roman"/>
                <w:color w:val="000000"/>
                <w:sz w:val="16"/>
                <w:szCs w:val="16"/>
                <w:lang w:val="fr-BE" w:eastAsia="en-GB"/>
              </w:rPr>
              <w:t xml:space="preserve">Anna Pilarek </w:t>
            </w:r>
          </w:p>
          <w:p w14:paraId="0863B664" w14:textId="2AC3B64C" w:rsidR="007E7F58" w:rsidRPr="007E7F58" w:rsidRDefault="007E7F58">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Pr="007E7F58">
                <w:rPr>
                  <w:rStyle w:val="Hipercze"/>
                  <w:rFonts w:ascii="Calibri" w:eastAsia="Times New Roman" w:hAnsi="Calibri" w:cs="Times New Roman"/>
                  <w:sz w:val="16"/>
                  <w:szCs w:val="16"/>
                  <w:lang w:val="fr-BE" w:eastAsia="en-GB"/>
                </w:rPr>
                <w:t>erasmus@wab.edu.pl</w:t>
              </w:r>
            </w:hyperlink>
          </w:p>
          <w:p w14:paraId="4E213E87" w14:textId="6C9FE457" w:rsidR="007E7F58" w:rsidRPr="00FD3847" w:rsidRDefault="007E7F5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7E7F58">
              <w:rPr>
                <w:rFonts w:ascii="Calibri" w:eastAsia="Times New Roman" w:hAnsi="Calibri" w:cs="Times New Roman"/>
                <w:color w:val="000000"/>
                <w:sz w:val="16"/>
                <w:szCs w:val="16"/>
                <w:lang w:val="fr-BE" w:eastAsia="en-GB"/>
              </w:rPr>
              <w:t>+48 71 333 11 15</w:t>
            </w:r>
          </w:p>
        </w:tc>
      </w:tr>
      <w:tr w:rsidR="00335864" w14:paraId="030F16CB" w14:textId="77777777" w:rsidTr="007E7F5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35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7E7F5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5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7E7F58">
        <w:trPr>
          <w:trHeight w:val="170"/>
        </w:trPr>
        <w:tc>
          <w:tcPr>
            <w:tcW w:w="5812"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244"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1B59" w14:textId="77777777" w:rsidR="001E1E27" w:rsidRDefault="001E1E27">
      <w:r>
        <w:separator/>
      </w:r>
    </w:p>
  </w:endnote>
  <w:endnote w:type="continuationSeparator" w:id="0">
    <w:p w14:paraId="2FEF8D3B" w14:textId="77777777" w:rsidR="001E1E27" w:rsidRDefault="001E1E27">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86B5" w14:textId="77777777" w:rsidR="001E1E27" w:rsidRDefault="001E1E27">
      <w:pPr>
        <w:spacing w:after="0" w:line="240" w:lineRule="auto"/>
      </w:pPr>
      <w:r>
        <w:separator/>
      </w:r>
    </w:p>
  </w:footnote>
  <w:footnote w:type="continuationSeparator" w:id="0">
    <w:p w14:paraId="4657D103" w14:textId="77777777" w:rsidR="001E1E27" w:rsidRDefault="001E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926FC9F" w:rsidR="00335864" w:rsidRDefault="007E7F58">
    <w:pPr>
      <w:pStyle w:val="Nagwek"/>
    </w:pPr>
    <w:r>
      <w:rPr>
        <w:noProof/>
      </w:rPr>
      <mc:AlternateContent>
        <mc:Choice Requires="wps">
          <w:drawing>
            <wp:anchor distT="0" distB="0" distL="114300" distR="114300" simplePos="0" relativeHeight="251657728" behindDoc="1" locked="0" layoutInCell="0" allowOverlap="1" wp14:anchorId="49C86566" wp14:editId="32D9D0AB">
              <wp:simplePos x="0" y="0"/>
              <wp:positionH relativeFrom="column">
                <wp:posOffset>5290185</wp:posOffset>
              </wp:positionH>
              <wp:positionV relativeFrom="paragraph">
                <wp:posOffset>-180340</wp:posOffset>
              </wp:positionV>
              <wp:extent cx="1905000" cy="762000"/>
              <wp:effectExtent l="0" t="0" r="0" b="0"/>
              <wp:wrapNone/>
              <wp:docPr id="152536120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E1E27"/>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7E7F58"/>
    <w:rsid w:val="0087754E"/>
    <w:rsid w:val="008814B5"/>
    <w:rsid w:val="008A55F9"/>
    <w:rsid w:val="00903F18"/>
    <w:rsid w:val="00960A9A"/>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 w:type="character" w:styleId="Nierozpoznanawzmianka">
    <w:name w:val="Unresolved Mention"/>
    <w:basedOn w:val="Domylnaczcionkaakapitu"/>
    <w:uiPriority w:val="99"/>
    <w:semiHidden/>
    <w:unhideWhenUsed/>
    <w:rsid w:val="007E7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wab.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1139</Words>
  <Characters>6836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Anna Pilarek</cp:lastModifiedBy>
  <cp:revision>2</cp:revision>
  <cp:lastPrinted>2015-04-10T09:51:00Z</cp:lastPrinted>
  <dcterms:created xsi:type="dcterms:W3CDTF">2025-02-15T15:48:00Z</dcterms:created>
  <dcterms:modified xsi:type="dcterms:W3CDTF">2025-02-15T15:48:00Z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